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7C" w:rsidRDefault="00560C7C" w:rsidP="00560C7C">
      <w:pPr>
        <w:widowControl w:val="0"/>
        <w:spacing w:before="100" w:beforeAutospacing="1" w:after="100" w:afterAutospacing="1" w:line="360" w:lineRule="auto"/>
        <w:jc w:val="both"/>
        <w:rPr>
          <w:rFonts w:ascii="Palatino Linotype" w:eastAsia="Calibri" w:hAnsi="Palatino Linotype" w:cs="Arial"/>
          <w:b/>
          <w:color w:val="000000"/>
        </w:rPr>
      </w:pPr>
      <w:r w:rsidRPr="0073286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TRIGÉSIMA PRIMERA</w:t>
      </w:r>
      <w:r w:rsidRPr="0073286C">
        <w:rPr>
          <w:rFonts w:ascii="Palatino Linotype" w:hAnsi="Palatino Linotype" w:cs="Arial"/>
          <w:b/>
        </w:rPr>
        <w:t xml:space="preserve"> SESIÓN ORDINARIA DE </w:t>
      </w:r>
      <w:r>
        <w:rPr>
          <w:rFonts w:ascii="Palatino Linotype" w:hAnsi="Palatino Linotype" w:cs="Arial"/>
          <w:b/>
        </w:rPr>
        <w:t xml:space="preserve">VEINTINUEVE DE AGOSTO </w:t>
      </w:r>
      <w:r w:rsidRPr="0073286C">
        <w:rPr>
          <w:rFonts w:ascii="Palatino Linotype" w:hAnsi="Palatino Linotype" w:cs="Arial"/>
          <w:b/>
        </w:rPr>
        <w:t>DE DOS MIL DIECI</w:t>
      </w:r>
      <w:r>
        <w:rPr>
          <w:rFonts w:ascii="Palatino Linotype" w:hAnsi="Palatino Linotype" w:cs="Arial"/>
          <w:b/>
        </w:rPr>
        <w:t>OCHO</w:t>
      </w:r>
      <w:r w:rsidRPr="0073286C">
        <w:rPr>
          <w:rFonts w:ascii="Palatino Linotype" w:hAnsi="Palatino Linotype" w:cs="Arial"/>
          <w:b/>
        </w:rPr>
        <w:t xml:space="preserve">, EN </w:t>
      </w:r>
      <w:r>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02363/</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p>
    <w:p w:rsidR="00560C7C" w:rsidRDefault="00560C7C" w:rsidP="00560C7C">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165844">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 xml:space="preserve">VOTO PARTICULAR </w:t>
      </w:r>
      <w:r w:rsidRPr="0073286C">
        <w:rPr>
          <w:rFonts w:ascii="Palatino Linotype" w:hAnsi="Palatino Linotype" w:cs="Arial"/>
        </w:rPr>
        <w:t xml:space="preserve">respecto de la resolución dictada en </w:t>
      </w:r>
      <w:r>
        <w:rPr>
          <w:rFonts w:ascii="Palatino Linotype" w:hAnsi="Palatino Linotype" w:cs="Arial"/>
        </w:rPr>
        <w:t xml:space="preserve">el recurso de revisión </w:t>
      </w:r>
      <w:r>
        <w:rPr>
          <w:rFonts w:ascii="Palatino Linotype" w:hAnsi="Palatino Linotype" w:cs="Arial"/>
          <w:b/>
        </w:rPr>
        <w:t>02363</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el Comisionado </w:t>
      </w:r>
      <w:r w:rsidRPr="0073286C">
        <w:rPr>
          <w:rFonts w:ascii="Palatino Linotype" w:hAnsi="Palatino Linotype" w:cs="Arial"/>
          <w:b/>
        </w:rPr>
        <w:t>JOSÉ GUADALUPE LUNA HERNÁNDEZ</w:t>
      </w:r>
      <w:r w:rsidRPr="0073286C">
        <w:rPr>
          <w:rFonts w:ascii="Palatino Linotype" w:hAnsi="Palatino Linotype" w:cs="Arial"/>
        </w:rPr>
        <w:t>, que es del tenor siguiente</w:t>
      </w:r>
      <w:r>
        <w:rPr>
          <w:rFonts w:ascii="Palatino Linotype" w:hAnsi="Palatino Linotype" w:cs="Arial"/>
        </w:rPr>
        <w:t>.</w:t>
      </w:r>
    </w:p>
    <w:p w:rsidR="00560C7C" w:rsidRDefault="00560C7C" w:rsidP="00560C7C">
      <w:pPr>
        <w:spacing w:before="100" w:beforeAutospacing="1" w:after="100" w:afterAutospacing="1" w:line="360" w:lineRule="auto"/>
        <w:jc w:val="both"/>
        <w:rPr>
          <w:rFonts w:ascii="Palatino Linotype" w:hAnsi="Palatino Linotype"/>
        </w:rPr>
      </w:pPr>
      <w:r w:rsidRPr="0073286C">
        <w:rPr>
          <w:rFonts w:ascii="Palatino Linotype" w:hAnsi="Palatino Linotype"/>
        </w:rPr>
        <w:t xml:space="preserve">Es de destacar, que la suscrita </w:t>
      </w:r>
      <w:r>
        <w:rPr>
          <w:rFonts w:ascii="Palatino Linotype" w:hAnsi="Palatino Linotype"/>
        </w:rPr>
        <w:t xml:space="preserve">comparte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Pr>
          <w:rFonts w:ascii="Palatino Linotype" w:hAnsi="Palatino Linotype"/>
        </w:rPr>
        <w:t>o que se ordena en la misma.</w:t>
      </w:r>
    </w:p>
    <w:p w:rsidR="00560C7C" w:rsidRDefault="00560C7C" w:rsidP="00560C7C">
      <w:pPr>
        <w:spacing w:before="100" w:beforeAutospacing="1" w:after="100" w:afterAutospacing="1" w:line="360" w:lineRule="auto"/>
        <w:jc w:val="both"/>
        <w:rPr>
          <w:rFonts w:ascii="Palatino Linotype" w:hAnsi="Palatino Linotype"/>
        </w:rPr>
      </w:pPr>
      <w:r w:rsidRPr="0073286C">
        <w:rPr>
          <w:rFonts w:ascii="Palatino Linotype" w:hAnsi="Palatino Linotype"/>
        </w:rPr>
        <w:t>Al respecto, tal y como quedó debidamente asentado en la resoluci</w:t>
      </w:r>
      <w:r>
        <w:rPr>
          <w:rFonts w:ascii="Palatino Linotype" w:hAnsi="Palatino Linotype"/>
        </w:rPr>
        <w:t>ón materia del presente voto, la</w:t>
      </w:r>
      <w:r w:rsidRPr="0073286C">
        <w:rPr>
          <w:rFonts w:ascii="Palatino Linotype" w:hAnsi="Palatino Linotype"/>
        </w:rPr>
        <w:t xml:space="preserve"> particular requirió del</w:t>
      </w:r>
      <w:r>
        <w:rPr>
          <w:rFonts w:ascii="Palatino Linotype" w:hAnsi="Palatino Linotype"/>
        </w:rPr>
        <w:t xml:space="preserve"> </w:t>
      </w:r>
      <w:r w:rsidRPr="006A35FA">
        <w:rPr>
          <w:rFonts w:ascii="Palatino Linotype" w:hAnsi="Palatino Linotype"/>
          <w:b/>
          <w:bCs/>
          <w:szCs w:val="22"/>
        </w:rPr>
        <w:t>Organismo Agua y Saneamiento de Toluca</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Pr>
          <w:rFonts w:ascii="Palatino Linotype" w:hAnsi="Palatino Linotype"/>
        </w:rPr>
        <w:t xml:space="preserve">la solicitud, acta constitutiva y constancia de la Comisión Nacional del Agua, censo de la asamblea o cualquier otro documento que </w:t>
      </w:r>
      <w:r>
        <w:rPr>
          <w:rFonts w:ascii="Palatino Linotype" w:hAnsi="Palatino Linotype"/>
        </w:rPr>
        <w:lastRenderedPageBreak/>
        <w:t>compruebe que los pozos de agua ubicados en una Delegación del Municipio de Toluca cumplieron con los requisitos de los Lineamientos para la Prestación de los Servicios de Agua Potable por parte de los Comités Independientes de Toluca.</w:t>
      </w:r>
    </w:p>
    <w:p w:rsidR="00560C7C" w:rsidRDefault="00560C7C" w:rsidP="00560C7C">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601307">
        <w:rPr>
          <w:rFonts w:ascii="Palatino Linotype" w:hAnsi="Palatino Linotype" w:cs="Arial"/>
        </w:rPr>
        <w:t>únicamente refirió que la Delegación a la que dice pertenecen los pozos de agua respecto de los q</w:t>
      </w:r>
      <w:r w:rsidR="00165844">
        <w:rPr>
          <w:rFonts w:ascii="Palatino Linotype" w:hAnsi="Palatino Linotype" w:cs="Arial"/>
        </w:rPr>
        <w:t>ue solicitaba la información cue</w:t>
      </w:r>
      <w:r w:rsidR="00601307">
        <w:rPr>
          <w:rFonts w:ascii="Palatino Linotype" w:hAnsi="Palatino Linotype" w:cs="Arial"/>
        </w:rPr>
        <w:t xml:space="preserve">nta con una administración y funcionamiento completamente independiente; por lo que no está dentro de las atribuciones del </w:t>
      </w:r>
      <w:r w:rsidR="00601307">
        <w:rPr>
          <w:rFonts w:ascii="Palatino Linotype" w:hAnsi="Palatino Linotype" w:cs="Arial"/>
          <w:b/>
        </w:rPr>
        <w:t xml:space="preserve">SUJETO OBLIGADO </w:t>
      </w:r>
      <w:r w:rsidR="00601307">
        <w:rPr>
          <w:rFonts w:ascii="Palatino Linotype" w:hAnsi="Palatino Linotype" w:cs="Arial"/>
        </w:rPr>
        <w:t>contar con lo solicitado.</w:t>
      </w:r>
    </w:p>
    <w:p w:rsidR="00601307" w:rsidRDefault="00560C7C" w:rsidP="00560C7C">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 xml:space="preserve">Atento a lo anterior, la Ponencia Resolutora determinó </w:t>
      </w:r>
      <w:r w:rsidR="00601307">
        <w:rPr>
          <w:rFonts w:ascii="Palatino Linotype" w:hAnsi="Palatino Linotype" w:cs="Arial"/>
          <w:b/>
        </w:rPr>
        <w:t>MODIFI</w:t>
      </w:r>
      <w:r w:rsidRPr="0073286C">
        <w:rPr>
          <w:rFonts w:ascii="Palatino Linotype" w:hAnsi="Palatino Linotype" w:cs="Arial"/>
          <w:b/>
        </w:rPr>
        <w:t xml:space="preserve">CAR </w:t>
      </w:r>
      <w:r w:rsidRPr="0073286C">
        <w:rPr>
          <w:rFonts w:ascii="Palatino Linotype" w:hAnsi="Palatino Linotype" w:cs="Arial"/>
        </w:rPr>
        <w:t>la respuesta del</w:t>
      </w:r>
      <w:r w:rsidRPr="0073286C">
        <w:rPr>
          <w:rFonts w:ascii="Palatino Linotype" w:hAnsi="Palatino Linotype" w:cs="Arial"/>
          <w:b/>
        </w:rPr>
        <w:t xml:space="preserve"> SUJETO OBLIGADO </w:t>
      </w:r>
      <w:r w:rsidRPr="0073286C">
        <w:rPr>
          <w:rFonts w:ascii="Palatino Linotype" w:hAnsi="Palatino Linotype" w:cs="Arial"/>
        </w:rPr>
        <w:t>y ordenar</w:t>
      </w:r>
      <w:r w:rsidRPr="0073286C">
        <w:rPr>
          <w:rFonts w:ascii="Palatino Linotype" w:hAnsi="Palatino Linotype" w:cs="Arial"/>
          <w:b/>
        </w:rPr>
        <w:t xml:space="preserve"> </w:t>
      </w:r>
      <w:r w:rsidRPr="0073286C">
        <w:rPr>
          <w:rFonts w:ascii="Palatino Linotype" w:hAnsi="Palatino Linotype" w:cs="Arial"/>
        </w:rPr>
        <w:t xml:space="preserve">la entrega, vía </w:t>
      </w:r>
      <w:r w:rsidRPr="0073286C">
        <w:rPr>
          <w:rFonts w:ascii="Palatino Linotype" w:hAnsi="Palatino Linotype"/>
        </w:rPr>
        <w:t>SAIMEX</w:t>
      </w:r>
      <w:r w:rsidRPr="0073286C">
        <w:rPr>
          <w:rFonts w:ascii="Palatino Linotype" w:hAnsi="Palatino Linotype" w:cs="Arial"/>
        </w:rPr>
        <w:t xml:space="preserve"> </w:t>
      </w:r>
      <w:r w:rsidRPr="00330461">
        <w:rPr>
          <w:rFonts w:ascii="Palatino Linotype" w:hAnsi="Palatino Linotype" w:cs="Arial"/>
        </w:rPr>
        <w:t>en versión pública de</w:t>
      </w:r>
      <w:r w:rsidR="00601307">
        <w:rPr>
          <w:rFonts w:ascii="Palatino Linotype" w:hAnsi="Palatino Linotype" w:cs="Arial"/>
        </w:rPr>
        <w:t>l soporte documental en donde conste la siguiente información:</w:t>
      </w:r>
    </w:p>
    <w:p w:rsidR="00601307" w:rsidRPr="00601307" w:rsidRDefault="00601307" w:rsidP="00601307">
      <w:pPr>
        <w:pStyle w:val="Prrafodelista"/>
        <w:numPr>
          <w:ilvl w:val="0"/>
          <w:numId w:val="3"/>
        </w:numPr>
        <w:ind w:left="1134" w:right="992"/>
        <w:jc w:val="both"/>
        <w:rPr>
          <w:rFonts w:ascii="Palatino Linotype" w:hAnsi="Palatino Linotype" w:cs="Arial"/>
          <w:i/>
          <w:sz w:val="22"/>
          <w:szCs w:val="22"/>
          <w:lang w:eastAsia="es-MX"/>
        </w:rPr>
      </w:pPr>
      <w:r w:rsidRPr="00601307">
        <w:rPr>
          <w:rFonts w:ascii="Palatino Linotype" w:hAnsi="Palatino Linotype" w:cs="Arial"/>
          <w:i/>
          <w:sz w:val="22"/>
          <w:szCs w:val="22"/>
          <w:lang w:eastAsia="es-MX"/>
        </w:rPr>
        <w:t xml:space="preserve">“Permisos o autorizaciones que se hayan emitido al Comité Independiente de Agua de la Delegación San Andrés </w:t>
      </w:r>
      <w:proofErr w:type="spellStart"/>
      <w:r w:rsidRPr="00601307">
        <w:rPr>
          <w:rFonts w:ascii="Palatino Linotype" w:hAnsi="Palatino Linotype" w:cs="Arial"/>
          <w:i/>
          <w:sz w:val="22"/>
          <w:szCs w:val="22"/>
          <w:lang w:eastAsia="es-MX"/>
        </w:rPr>
        <w:t>Cuexcontitlán</w:t>
      </w:r>
      <w:proofErr w:type="spellEnd"/>
      <w:r w:rsidRPr="00601307">
        <w:rPr>
          <w:rFonts w:ascii="Palatino Linotype" w:hAnsi="Palatino Linotype" w:cs="Arial"/>
          <w:i/>
          <w:sz w:val="22"/>
          <w:szCs w:val="22"/>
          <w:lang w:eastAsia="es-MX"/>
        </w:rPr>
        <w:t xml:space="preserve"> relativos a los pozos de agua ubicados en las direcciones de referencia en la solicitud 00013/OASTOL/IP/2018.</w:t>
      </w:r>
    </w:p>
    <w:p w:rsidR="00601307" w:rsidRPr="00601307" w:rsidRDefault="00601307" w:rsidP="00601307">
      <w:pPr>
        <w:pStyle w:val="Prrafodelista"/>
        <w:ind w:left="1134" w:right="992"/>
        <w:jc w:val="both"/>
        <w:rPr>
          <w:rFonts w:ascii="Palatino Linotype" w:hAnsi="Palatino Linotype" w:cs="Arial"/>
          <w:i/>
          <w:sz w:val="22"/>
          <w:szCs w:val="22"/>
          <w:lang w:eastAsia="es-MX"/>
        </w:rPr>
      </w:pPr>
    </w:p>
    <w:p w:rsidR="00601307" w:rsidRDefault="00601307" w:rsidP="00601307">
      <w:pPr>
        <w:ind w:left="1134" w:right="992"/>
        <w:jc w:val="both"/>
        <w:rPr>
          <w:rFonts w:ascii="Palatino Linotype" w:eastAsia="Calibri" w:hAnsi="Palatino Linotype" w:cs="Arial"/>
          <w:i/>
          <w:sz w:val="22"/>
          <w:szCs w:val="22"/>
        </w:rPr>
      </w:pPr>
      <w:r w:rsidRPr="00601307">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Pr>
          <w:rFonts w:ascii="Palatino Linotype" w:eastAsia="Calibri" w:hAnsi="Palatino Linotype" w:cs="Arial"/>
          <w:i/>
          <w:sz w:val="22"/>
          <w:szCs w:val="22"/>
        </w:rPr>
        <w:t xml:space="preserve"> la Recurrente.</w:t>
      </w:r>
    </w:p>
    <w:p w:rsidR="00601307" w:rsidRPr="00601307" w:rsidRDefault="00601307" w:rsidP="00601307">
      <w:pPr>
        <w:ind w:left="1134" w:right="992"/>
        <w:jc w:val="both"/>
        <w:rPr>
          <w:rFonts w:ascii="Palatino Linotype" w:hAnsi="Palatino Linotype"/>
          <w:b/>
          <w:i/>
          <w:sz w:val="22"/>
          <w:szCs w:val="22"/>
        </w:rPr>
      </w:pPr>
    </w:p>
    <w:p w:rsidR="00601307" w:rsidRPr="00601307" w:rsidRDefault="00601307" w:rsidP="00601307">
      <w:pPr>
        <w:ind w:left="1134" w:right="992"/>
        <w:jc w:val="both"/>
        <w:rPr>
          <w:rFonts w:ascii="Palatino Linotype" w:eastAsia="Calibri" w:hAnsi="Palatino Linotype" w:cs="Arial"/>
          <w:b/>
          <w:i/>
          <w:color w:val="000000"/>
          <w:sz w:val="22"/>
          <w:szCs w:val="22"/>
        </w:rPr>
      </w:pPr>
      <w:r w:rsidRPr="00601307">
        <w:rPr>
          <w:rFonts w:ascii="Palatino Linotype" w:eastAsia="Calibri" w:hAnsi="Palatino Linotype" w:cs="Arial"/>
          <w:b/>
          <w:i/>
          <w:color w:val="000000"/>
          <w:sz w:val="22"/>
          <w:szCs w:val="22"/>
        </w:rPr>
        <w:t>En caso, que la información señalada en el inciso anterior no haya sido generada, poseída o administrada, el SUJETO OBLIGADO deberá de manifestar de manera precisa y clara, las razones que expliquen las causas por las cuales no se cuenta con la información requerida.”</w:t>
      </w:r>
    </w:p>
    <w:p w:rsidR="00560C7C" w:rsidRDefault="00560C7C" w:rsidP="00560C7C">
      <w:pPr>
        <w:spacing w:before="100" w:beforeAutospacing="1" w:after="100" w:afterAutospacing="1" w:line="360" w:lineRule="auto"/>
        <w:jc w:val="both"/>
        <w:rPr>
          <w:rFonts w:ascii="Palatino Linotype" w:eastAsia="Calibri" w:hAnsi="Palatino Linotype" w:cs="Arial"/>
        </w:rPr>
      </w:pPr>
      <w:r w:rsidRPr="0073286C">
        <w:rPr>
          <w:rFonts w:ascii="Palatino Linotype" w:hAnsi="Palatino Linotype" w:cs="Arial"/>
          <w:lang w:val="es-MX"/>
        </w:rPr>
        <w:lastRenderedPageBreak/>
        <w:t xml:space="preserve">En ese sentido, la que suscribe reitera, que si bien coincide en términos generales con el </w:t>
      </w:r>
      <w:r>
        <w:rPr>
          <w:rFonts w:ascii="Palatino Linotype" w:hAnsi="Palatino Linotype" w:cs="Arial"/>
          <w:lang w:val="es-MX"/>
        </w:rPr>
        <w:t>sentido de la r</w:t>
      </w:r>
      <w:r w:rsidRPr="0073286C">
        <w:rPr>
          <w:rFonts w:ascii="Palatino Linotype" w:hAnsi="Palatino Linotype" w:cs="Arial"/>
          <w:lang w:val="es-MX"/>
        </w:rPr>
        <w:t xml:space="preserve">esolución en comento, difiero en primer término, respecto del pronunciamiento que se ordena al </w:t>
      </w:r>
      <w:r w:rsidRPr="0073286C">
        <w:rPr>
          <w:rFonts w:ascii="Palatino Linotype" w:hAnsi="Palatino Linotype" w:cs="Arial"/>
          <w:b/>
          <w:lang w:val="es-MX"/>
        </w:rPr>
        <w:t>SUJETO OBLIGADO</w:t>
      </w:r>
      <w:r w:rsidRPr="0073286C">
        <w:rPr>
          <w:rFonts w:ascii="Palatino Linotype" w:hAnsi="Palatino Linotype" w:cs="Arial"/>
          <w:lang w:val="es-MX"/>
        </w:rPr>
        <w:t xml:space="preserve">, que para el caso de no </w:t>
      </w:r>
      <w:r w:rsidR="00601307">
        <w:rPr>
          <w:rFonts w:ascii="Palatino Linotype" w:hAnsi="Palatino Linotype" w:cs="Arial"/>
          <w:lang w:val="es-MX"/>
        </w:rPr>
        <w:t xml:space="preserve">haberse generado la información, </w:t>
      </w:r>
      <w:r w:rsidRPr="0073286C">
        <w:rPr>
          <w:rFonts w:ascii="Palatino Linotype" w:hAnsi="Palatino Linotype" w:cs="Arial"/>
          <w:lang w:val="es-MX"/>
        </w:rPr>
        <w:t xml:space="preserve">se pronuncie </w:t>
      </w:r>
      <w:r w:rsidRPr="0073286C">
        <w:rPr>
          <w:rFonts w:ascii="Palatino Linotype" w:eastAsia="Calibri" w:hAnsi="Palatino Linotype" w:cs="Arial"/>
        </w:rPr>
        <w:t>de manera precisa y clara argumentando las razones que expliquen las causas por las que no cuente con la información requerida.</w:t>
      </w:r>
    </w:p>
    <w:p w:rsidR="00560C7C" w:rsidRPr="0073286C" w:rsidRDefault="00560C7C" w:rsidP="00560C7C">
      <w:pPr>
        <w:spacing w:before="100" w:beforeAutospacing="1" w:after="100" w:afterAutospacing="1" w:line="360" w:lineRule="auto"/>
        <w:jc w:val="both"/>
        <w:rPr>
          <w:rFonts w:ascii="Palatino Linotype" w:hAnsi="Palatino Linotype" w:cs="Arial"/>
          <w:lang w:val="es-MX"/>
        </w:rPr>
      </w:pPr>
      <w:r w:rsidRPr="0073286C">
        <w:rPr>
          <w:rFonts w:ascii="Palatino Linotype" w:hAnsi="Palatino Linotype" w:cs="Arial"/>
          <w:lang w:val="es-MX"/>
        </w:rPr>
        <w:t>Al respecto, es menester remitirse al artículo 19 de la Ley de la materia que a la letra dice:</w:t>
      </w:r>
    </w:p>
    <w:p w:rsidR="00560C7C" w:rsidRPr="0073286C" w:rsidRDefault="00560C7C" w:rsidP="00601307">
      <w:pPr>
        <w:tabs>
          <w:tab w:val="left" w:pos="2550"/>
        </w:tabs>
        <w:ind w:left="709" w:right="567"/>
        <w:jc w:val="both"/>
        <w:rPr>
          <w:rFonts w:ascii="Palatino Linotype" w:hAnsi="Palatino Linotype" w:cs="Arial"/>
          <w:i/>
          <w:sz w:val="22"/>
          <w:lang w:val="es-MX"/>
        </w:rPr>
      </w:pPr>
      <w:r w:rsidRPr="00612A85">
        <w:rPr>
          <w:rFonts w:ascii="Palatino Linotype" w:hAnsi="Palatino Linotype" w:cs="Arial"/>
          <w:i/>
          <w:sz w:val="22"/>
          <w:lang w:val="es-MX"/>
        </w:rPr>
        <w:t>“</w:t>
      </w:r>
      <w:r w:rsidRPr="0073286C">
        <w:rPr>
          <w:rFonts w:ascii="Palatino Linotype" w:hAnsi="Palatino Linotype" w:cs="Arial"/>
          <w:b/>
          <w:i/>
          <w:sz w:val="22"/>
          <w:lang w:val="es-MX"/>
        </w:rPr>
        <w:t>Artículo 19.</w:t>
      </w:r>
      <w:r w:rsidRPr="0073286C">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560C7C" w:rsidRPr="0073286C" w:rsidRDefault="00560C7C" w:rsidP="00601307">
      <w:pPr>
        <w:ind w:left="709" w:right="567"/>
        <w:jc w:val="both"/>
        <w:rPr>
          <w:rFonts w:ascii="Palatino Linotype" w:hAnsi="Palatino Linotype" w:cs="Arial"/>
          <w:i/>
          <w:sz w:val="22"/>
          <w:lang w:val="es-MX"/>
        </w:rPr>
      </w:pPr>
    </w:p>
    <w:p w:rsidR="00560C7C" w:rsidRPr="0073286C" w:rsidRDefault="00560C7C" w:rsidP="00601307">
      <w:pPr>
        <w:ind w:left="709" w:right="567"/>
        <w:jc w:val="both"/>
        <w:rPr>
          <w:rFonts w:ascii="Palatino Linotype" w:hAnsi="Palatino Linotype" w:cs="Arial"/>
          <w:i/>
          <w:sz w:val="22"/>
          <w:lang w:val="es-MX"/>
        </w:rPr>
      </w:pPr>
      <w:r w:rsidRPr="0073286C">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560C7C" w:rsidRPr="0073286C" w:rsidRDefault="00560C7C" w:rsidP="00601307">
      <w:pPr>
        <w:ind w:left="709" w:right="567"/>
        <w:jc w:val="both"/>
        <w:rPr>
          <w:rFonts w:ascii="Palatino Linotype" w:hAnsi="Palatino Linotype" w:cs="Arial"/>
          <w:i/>
          <w:sz w:val="22"/>
          <w:lang w:val="es-MX"/>
        </w:rPr>
      </w:pPr>
    </w:p>
    <w:p w:rsidR="00560C7C" w:rsidRPr="0073286C" w:rsidRDefault="00560C7C" w:rsidP="00601307">
      <w:pPr>
        <w:ind w:left="709" w:right="567"/>
        <w:jc w:val="both"/>
        <w:rPr>
          <w:rFonts w:ascii="Palatino Linotype" w:hAnsi="Palatino Linotype" w:cs="Arial"/>
          <w:i/>
          <w:sz w:val="22"/>
          <w:lang w:val="es-MX"/>
        </w:rPr>
      </w:pPr>
      <w:r w:rsidRPr="0073286C">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sz w:val="22"/>
          <w:lang w:val="es-MX"/>
        </w:rPr>
        <w:t>”</w:t>
      </w:r>
    </w:p>
    <w:p w:rsidR="00165844" w:rsidRDefault="00165844" w:rsidP="00165844">
      <w:pPr>
        <w:pStyle w:val="Prrafodelista"/>
        <w:spacing w:line="360" w:lineRule="auto"/>
        <w:ind w:left="0"/>
        <w:jc w:val="both"/>
        <w:rPr>
          <w:rFonts w:ascii="Palatino Linotype" w:hAnsi="Palatino Linotype" w:cs="Arial"/>
          <w:lang w:val="es-MX"/>
        </w:rPr>
      </w:pPr>
    </w:p>
    <w:p w:rsidR="00601307" w:rsidRPr="006B1108" w:rsidRDefault="00560C7C" w:rsidP="00165844">
      <w:pPr>
        <w:pStyle w:val="Prrafodelista"/>
        <w:spacing w:line="360" w:lineRule="auto"/>
        <w:ind w:left="0"/>
        <w:jc w:val="both"/>
        <w:rPr>
          <w:rFonts w:ascii="Palatino Linotype" w:hAnsi="Palatino Linotype"/>
          <w:lang w:val="es-MX" w:eastAsia="en-US"/>
        </w:rPr>
      </w:pPr>
      <w:r w:rsidRPr="0073286C">
        <w:rPr>
          <w:rFonts w:ascii="Palatino Linotype" w:hAnsi="Palatino Linotype" w:cs="Arial"/>
          <w:lang w:val="es-MX"/>
        </w:rPr>
        <w:t>De lo anterior</w:t>
      </w:r>
      <w:r>
        <w:rPr>
          <w:rFonts w:ascii="Palatino Linotype" w:hAnsi="Palatino Linotype" w:cs="Arial"/>
          <w:lang w:val="es-MX"/>
        </w:rPr>
        <w:t>, el citado artículo señala que</w:t>
      </w:r>
      <w:r w:rsidRPr="0073286C">
        <w:rPr>
          <w:rFonts w:ascii="Palatino Linotype" w:hAnsi="Palatino Linotype" w:cs="Arial"/>
          <w:lang w:val="es-MX"/>
        </w:rPr>
        <w:t xml:space="preserve"> se presume que la</w:t>
      </w:r>
      <w:r w:rsidR="00165844">
        <w:rPr>
          <w:rFonts w:ascii="Palatino Linotype" w:hAnsi="Palatino Linotype" w:cs="Arial"/>
          <w:lang w:val="es-MX"/>
        </w:rPr>
        <w:t xml:space="preserve"> existencia de la </w:t>
      </w:r>
      <w:r w:rsidRPr="0073286C">
        <w:rPr>
          <w:rFonts w:ascii="Palatino Linotype" w:hAnsi="Palatino Linotype" w:cs="Arial"/>
          <w:lang w:val="es-MX"/>
        </w:rPr>
        <w:t xml:space="preserve"> información en razón de las funciones del </w:t>
      </w:r>
      <w:r w:rsidRPr="0073286C">
        <w:rPr>
          <w:rFonts w:ascii="Palatino Linotype" w:hAnsi="Palatino Linotype" w:cs="Arial"/>
          <w:b/>
          <w:lang w:val="es-MX"/>
        </w:rPr>
        <w:t>SUJETO OBLIGADO</w:t>
      </w:r>
      <w:r w:rsidRPr="0073286C">
        <w:rPr>
          <w:rFonts w:ascii="Palatino Linotype" w:hAnsi="Palatino Linotype" w:cs="Arial"/>
          <w:lang w:val="es-MX"/>
        </w:rPr>
        <w:t xml:space="preserve"> dispuestas para este caso </w:t>
      </w:r>
      <w:r w:rsidR="00601307">
        <w:rPr>
          <w:rFonts w:ascii="Palatino Linotype" w:hAnsi="Palatino Linotype"/>
          <w:lang w:val="es-MX" w:eastAsia="en-US"/>
        </w:rPr>
        <w:t xml:space="preserve">en </w:t>
      </w:r>
      <w:r w:rsidR="00601307" w:rsidRPr="006B1108">
        <w:rPr>
          <w:rFonts w:ascii="Palatino Linotype" w:hAnsi="Palatino Linotype" w:cs="Arial"/>
        </w:rPr>
        <w:t>la Ley de Aguas Nacionales</w:t>
      </w:r>
      <w:r w:rsidR="00601307">
        <w:rPr>
          <w:rStyle w:val="Refdenotaalpie"/>
          <w:rFonts w:ascii="Palatino Linotype" w:hAnsi="Palatino Linotype" w:cs="Arial"/>
        </w:rPr>
        <w:footnoteReference w:id="1"/>
      </w:r>
      <w:r w:rsidR="00601307">
        <w:rPr>
          <w:rFonts w:ascii="Palatino Linotype" w:hAnsi="Palatino Linotype" w:cs="Arial"/>
        </w:rPr>
        <w:t xml:space="preserve"> </w:t>
      </w:r>
      <w:r w:rsidR="00165844">
        <w:rPr>
          <w:rFonts w:ascii="Palatino Linotype" w:hAnsi="Palatino Linotype" w:cs="Arial"/>
        </w:rPr>
        <w:t xml:space="preserve">que </w:t>
      </w:r>
      <w:r w:rsidR="00601307">
        <w:rPr>
          <w:rFonts w:ascii="Palatino Linotype" w:hAnsi="Palatino Linotype" w:cs="Arial"/>
        </w:rPr>
        <w:t>establece:</w:t>
      </w:r>
    </w:p>
    <w:p w:rsidR="00601307" w:rsidRPr="00B97D12" w:rsidRDefault="00601307" w:rsidP="00601307">
      <w:pPr>
        <w:pStyle w:val="Prrafodelista"/>
        <w:autoSpaceDE w:val="0"/>
        <w:autoSpaceDN w:val="0"/>
        <w:adjustRightInd w:val="0"/>
        <w:ind w:left="851" w:right="992"/>
        <w:jc w:val="both"/>
        <w:rPr>
          <w:rFonts w:ascii="Palatino Linotype" w:hAnsi="Palatino Linotype" w:cs="Arial"/>
          <w:b/>
          <w:i/>
          <w:sz w:val="22"/>
          <w:szCs w:val="22"/>
        </w:rPr>
      </w:pPr>
      <w:r w:rsidRPr="00B97D12">
        <w:rPr>
          <w:rFonts w:ascii="Palatino Linotype" w:hAnsi="Palatino Linotype" w:cs="Arial"/>
          <w:b/>
          <w:i/>
          <w:sz w:val="22"/>
          <w:szCs w:val="22"/>
        </w:rPr>
        <w:t>“Artículo 20.</w:t>
      </w:r>
    </w:p>
    <w:p w:rsidR="00601307" w:rsidRPr="00B97D12" w:rsidRDefault="00601307" w:rsidP="00601307">
      <w:pPr>
        <w:pStyle w:val="Prrafodelista"/>
        <w:autoSpaceDE w:val="0"/>
        <w:autoSpaceDN w:val="0"/>
        <w:adjustRightInd w:val="0"/>
        <w:ind w:right="992"/>
        <w:jc w:val="both"/>
        <w:rPr>
          <w:rFonts w:ascii="Palatino Linotype" w:hAnsi="Palatino Linotype" w:cs="SoberanaSans-Light"/>
          <w:i/>
          <w:sz w:val="22"/>
          <w:szCs w:val="22"/>
          <w:lang w:val="es-MX"/>
        </w:rPr>
      </w:pPr>
      <w:r w:rsidRPr="00B97D12">
        <w:rPr>
          <w:rFonts w:ascii="Palatino Linotype" w:hAnsi="Palatino Linotype" w:cs="SoberanaSans-Light"/>
          <w:i/>
          <w:sz w:val="22"/>
          <w:szCs w:val="22"/>
          <w:lang w:val="es-MX"/>
        </w:rPr>
        <w:t>(…)</w:t>
      </w:r>
    </w:p>
    <w:p w:rsidR="00601307" w:rsidRPr="00B97D12" w:rsidRDefault="00601307" w:rsidP="00601307">
      <w:pPr>
        <w:pStyle w:val="Prrafodelista"/>
        <w:autoSpaceDE w:val="0"/>
        <w:autoSpaceDN w:val="0"/>
        <w:adjustRightInd w:val="0"/>
        <w:ind w:right="992"/>
        <w:jc w:val="both"/>
        <w:rPr>
          <w:rFonts w:ascii="Palatino Linotype" w:hAnsi="Palatino Linotype" w:cs="SoberanaSans-Light"/>
          <w:i/>
          <w:sz w:val="22"/>
          <w:szCs w:val="22"/>
          <w:lang w:val="es-MX"/>
        </w:rPr>
      </w:pPr>
      <w:r w:rsidRPr="00B97D12">
        <w:rPr>
          <w:rFonts w:ascii="Palatino Linotype" w:hAnsi="Palatino Linotype" w:cs="SoberanaSans-Light"/>
          <w:i/>
          <w:sz w:val="22"/>
          <w:szCs w:val="22"/>
          <w:lang w:val="es-MX"/>
        </w:rPr>
        <w:t>“</w:t>
      </w:r>
      <w:r w:rsidRPr="006B1108">
        <w:rPr>
          <w:rFonts w:ascii="Palatino Linotype" w:hAnsi="Palatino Linotype" w:cs="SoberanaSans-Light"/>
          <w:b/>
          <w:i/>
          <w:sz w:val="22"/>
          <w:szCs w:val="22"/>
          <w:lang w:val="es-MX"/>
        </w:rPr>
        <w:t>La explotación, uso o aprovechamiento de aguas nacionales por parte de personas</w:t>
      </w:r>
      <w:r w:rsidRPr="00B97D12">
        <w:rPr>
          <w:rFonts w:ascii="Palatino Linotype" w:hAnsi="Palatino Linotype" w:cs="SoberanaSans-Light"/>
          <w:i/>
          <w:sz w:val="22"/>
          <w:szCs w:val="22"/>
          <w:lang w:val="es-MX"/>
        </w:rPr>
        <w:t xml:space="preserve"> físicas o </w:t>
      </w:r>
      <w:r w:rsidRPr="006B1108">
        <w:rPr>
          <w:rFonts w:ascii="Palatino Linotype" w:hAnsi="Palatino Linotype" w:cs="SoberanaSans-Light"/>
          <w:b/>
          <w:i/>
          <w:sz w:val="22"/>
          <w:szCs w:val="22"/>
          <w:lang w:val="es-MX"/>
        </w:rPr>
        <w:t>morales se realizará mediante concesión otorgada</w:t>
      </w:r>
      <w:r w:rsidRPr="00B97D12">
        <w:rPr>
          <w:rFonts w:ascii="Palatino Linotype" w:hAnsi="Palatino Linotype" w:cs="SoberanaSans-Light"/>
          <w:i/>
          <w:sz w:val="22"/>
          <w:szCs w:val="22"/>
          <w:lang w:val="es-MX"/>
        </w:rPr>
        <w:t xml:space="preserve"> por el </w:t>
      </w:r>
      <w:r w:rsidRPr="00B97D12">
        <w:rPr>
          <w:rFonts w:ascii="Palatino Linotype" w:hAnsi="Palatino Linotype" w:cs="SoberanaSans-Light"/>
          <w:i/>
          <w:sz w:val="22"/>
          <w:szCs w:val="22"/>
          <w:lang w:val="es-MX"/>
        </w:rPr>
        <w:lastRenderedPageBreak/>
        <w:t>Ejecutivo Federal a través de “la Comisión” por medio de los Organismos de Cuenca, o por ésta cuando así le competa.”</w:t>
      </w:r>
    </w:p>
    <w:p w:rsidR="00BE17D7" w:rsidRPr="00BE17D7" w:rsidRDefault="00BE17D7" w:rsidP="00BE17D7">
      <w:pPr>
        <w:pStyle w:val="Prrafodelista"/>
        <w:autoSpaceDE w:val="0"/>
        <w:autoSpaceDN w:val="0"/>
        <w:adjustRightInd w:val="0"/>
        <w:spacing w:before="100" w:beforeAutospacing="1" w:after="100" w:afterAutospacing="1" w:line="360" w:lineRule="auto"/>
        <w:ind w:left="0"/>
        <w:jc w:val="both"/>
        <w:rPr>
          <w:rFonts w:ascii="Palatino Linotype" w:hAnsi="Palatino Linotype" w:cs="Arial"/>
          <w:sz w:val="8"/>
          <w:szCs w:val="8"/>
        </w:rPr>
      </w:pPr>
    </w:p>
    <w:p w:rsidR="00BE17D7" w:rsidRPr="006B1108" w:rsidRDefault="00165844" w:rsidP="00BE17D7">
      <w:pPr>
        <w:pStyle w:val="Prrafodelista"/>
        <w:autoSpaceDE w:val="0"/>
        <w:autoSpaceDN w:val="0"/>
        <w:adjustRightInd w:val="0"/>
        <w:spacing w:before="100" w:beforeAutospacing="1" w:after="100" w:afterAutospacing="1" w:line="360" w:lineRule="auto"/>
        <w:ind w:left="0"/>
        <w:jc w:val="both"/>
        <w:rPr>
          <w:rFonts w:ascii="Palatino Linotype" w:hAnsi="Palatino Linotype" w:cs="Arial"/>
          <w:b/>
          <w:i/>
          <w:sz w:val="22"/>
          <w:szCs w:val="22"/>
        </w:rPr>
      </w:pPr>
      <w:r>
        <w:rPr>
          <w:rFonts w:ascii="Palatino Linotype" w:hAnsi="Palatino Linotype" w:cs="Arial"/>
        </w:rPr>
        <w:t>Asi</w:t>
      </w:r>
      <w:r w:rsidR="00BE17D7" w:rsidRPr="00B97D12">
        <w:rPr>
          <w:rFonts w:ascii="Palatino Linotype" w:hAnsi="Palatino Linotype" w:cs="Arial"/>
        </w:rPr>
        <w:t>mismo</w:t>
      </w:r>
      <w:r w:rsidR="00BE17D7">
        <w:rPr>
          <w:rFonts w:ascii="Palatino Linotype" w:hAnsi="Palatino Linotype" w:cs="Arial"/>
        </w:rPr>
        <w:t>,</w:t>
      </w:r>
      <w:r w:rsidR="00BE17D7" w:rsidRPr="00B97D12">
        <w:rPr>
          <w:rFonts w:ascii="Palatino Linotype" w:hAnsi="Palatino Linotype" w:cs="Arial"/>
        </w:rPr>
        <w:t xml:space="preserve"> el artículo 34 de la Ley del Agua para el Estado de México y Municipios</w:t>
      </w:r>
      <w:r w:rsidR="00BE17D7">
        <w:rPr>
          <w:rStyle w:val="Refdenotaalpie"/>
          <w:rFonts w:ascii="Palatino Linotype" w:hAnsi="Palatino Linotype" w:cs="Arial"/>
        </w:rPr>
        <w:footnoteReference w:id="2"/>
      </w:r>
      <w:r w:rsidR="00BE17D7" w:rsidRPr="00B97D12">
        <w:rPr>
          <w:rFonts w:ascii="Palatino Linotype" w:hAnsi="Palatino Linotype" w:cs="Arial"/>
        </w:rPr>
        <w:t xml:space="preserve"> cita: </w:t>
      </w:r>
    </w:p>
    <w:p w:rsidR="00BE17D7" w:rsidRPr="00B97D12" w:rsidRDefault="00BE17D7" w:rsidP="00BE17D7">
      <w:pPr>
        <w:pStyle w:val="Prrafodelista"/>
        <w:autoSpaceDE w:val="0"/>
        <w:autoSpaceDN w:val="0"/>
        <w:adjustRightInd w:val="0"/>
        <w:rPr>
          <w:rFonts w:ascii="Palatino Linotype" w:hAnsi="Palatino Linotype" w:cs="Bookman Old Style"/>
          <w:i/>
          <w:sz w:val="22"/>
          <w:szCs w:val="22"/>
          <w:lang w:val="es-MX"/>
        </w:rPr>
      </w:pPr>
      <w:r>
        <w:rPr>
          <w:rFonts w:ascii="Palatino Linotype" w:hAnsi="Palatino Linotype" w:cs="Bookman Old Style"/>
          <w:i/>
          <w:sz w:val="22"/>
          <w:szCs w:val="22"/>
          <w:lang w:val="es-MX"/>
        </w:rPr>
        <w:t>“</w:t>
      </w:r>
      <w:r w:rsidRPr="00B97D12">
        <w:rPr>
          <w:rFonts w:ascii="Palatino Linotype" w:hAnsi="Palatino Linotype" w:cs="Bookman Old Style"/>
          <w:i/>
          <w:sz w:val="22"/>
          <w:szCs w:val="22"/>
          <w:lang w:val="es-MX"/>
        </w:rPr>
        <w:t>Los municipios podrán prestar directamente los servicios a que se refiere la presente Ley, o bien por conducto de cualquiera de los siguientes prestadores de los servicios:</w:t>
      </w:r>
    </w:p>
    <w:p w:rsidR="00BE17D7" w:rsidRPr="00B97D12" w:rsidRDefault="00BE17D7" w:rsidP="00BE17D7">
      <w:pPr>
        <w:pStyle w:val="Prrafodelista"/>
        <w:numPr>
          <w:ilvl w:val="0"/>
          <w:numId w:val="4"/>
        </w:numPr>
        <w:autoSpaceDE w:val="0"/>
        <w:autoSpaceDN w:val="0"/>
        <w:adjustRightInd w:val="0"/>
        <w:rPr>
          <w:rFonts w:ascii="Palatino Linotype" w:hAnsi="Palatino Linotype" w:cs="Bookman Old Style"/>
          <w:i/>
          <w:sz w:val="22"/>
          <w:szCs w:val="22"/>
          <w:lang w:val="es-MX"/>
        </w:rPr>
      </w:pPr>
      <w:r w:rsidRPr="00B97D12">
        <w:rPr>
          <w:rFonts w:ascii="Palatino Linotype" w:hAnsi="Palatino Linotype" w:cs="Bookman Old Style"/>
          <w:i/>
          <w:sz w:val="22"/>
          <w:szCs w:val="22"/>
          <w:lang w:val="es-MX"/>
        </w:rPr>
        <w:t>Organismos descentralizados municipales o intermunicipales, que serán los organismos operadores;</w:t>
      </w:r>
    </w:p>
    <w:p w:rsidR="00BE17D7" w:rsidRPr="00B97D12" w:rsidRDefault="00BE17D7" w:rsidP="00BE17D7">
      <w:pPr>
        <w:pStyle w:val="Prrafodelista"/>
        <w:numPr>
          <w:ilvl w:val="0"/>
          <w:numId w:val="4"/>
        </w:numPr>
        <w:autoSpaceDE w:val="0"/>
        <w:autoSpaceDN w:val="0"/>
        <w:adjustRightInd w:val="0"/>
        <w:rPr>
          <w:rFonts w:ascii="Palatino Linotype" w:hAnsi="Palatino Linotype" w:cs="Bookman Old Style"/>
          <w:i/>
          <w:sz w:val="22"/>
          <w:szCs w:val="22"/>
          <w:lang w:val="es-MX"/>
        </w:rPr>
      </w:pPr>
      <w:r w:rsidRPr="00B97D12">
        <w:rPr>
          <w:rFonts w:ascii="Palatino Linotype" w:hAnsi="Palatino Linotype" w:cs="Bookman Old Style,Bold"/>
          <w:b/>
          <w:bCs/>
          <w:i/>
          <w:sz w:val="22"/>
          <w:szCs w:val="22"/>
          <w:lang w:val="es-MX"/>
        </w:rPr>
        <w:t xml:space="preserve"> </w:t>
      </w:r>
      <w:r w:rsidRPr="00B97D12">
        <w:rPr>
          <w:rFonts w:ascii="Palatino Linotype" w:hAnsi="Palatino Linotype" w:cs="Bookman Old Style"/>
          <w:i/>
          <w:sz w:val="22"/>
          <w:szCs w:val="22"/>
          <w:lang w:val="es-MX"/>
        </w:rPr>
        <w:t>La Comisión; o</w:t>
      </w:r>
    </w:p>
    <w:p w:rsidR="00BE17D7" w:rsidRPr="00B97D12" w:rsidRDefault="00BE17D7" w:rsidP="00BE17D7">
      <w:pPr>
        <w:pStyle w:val="Prrafodelista"/>
        <w:numPr>
          <w:ilvl w:val="0"/>
          <w:numId w:val="4"/>
        </w:numPr>
        <w:autoSpaceDE w:val="0"/>
        <w:autoSpaceDN w:val="0"/>
        <w:adjustRightInd w:val="0"/>
        <w:rPr>
          <w:rFonts w:ascii="Palatino Linotype" w:hAnsi="Palatino Linotype" w:cs="Bookman Old Style"/>
          <w:i/>
          <w:sz w:val="22"/>
          <w:szCs w:val="22"/>
          <w:lang w:val="es-MX"/>
        </w:rPr>
      </w:pPr>
      <w:r w:rsidRPr="00B97D12">
        <w:rPr>
          <w:rFonts w:ascii="Palatino Linotype" w:hAnsi="Palatino Linotype" w:cs="Bookman Old Style"/>
          <w:b/>
          <w:i/>
          <w:sz w:val="22"/>
          <w:szCs w:val="22"/>
          <w:lang w:val="es-MX"/>
        </w:rPr>
        <w:t>Personas jurídicas colectivas concesionarias</w:t>
      </w:r>
      <w:r w:rsidRPr="00B97D12">
        <w:rPr>
          <w:rFonts w:ascii="Palatino Linotype" w:hAnsi="Palatino Linotype" w:cs="Bookman Old Style"/>
          <w:i/>
          <w:sz w:val="22"/>
          <w:szCs w:val="22"/>
          <w:lang w:val="es-MX"/>
        </w:rPr>
        <w:t>.”</w:t>
      </w:r>
    </w:p>
    <w:p w:rsidR="00560C7C" w:rsidRDefault="00560C7C" w:rsidP="00560C7C">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Atento a lo anterior, se colige que dicha informac</w:t>
      </w:r>
      <w:r>
        <w:rPr>
          <w:rFonts w:ascii="Palatino Linotype" w:hAnsi="Palatino Linotype" w:cs="Arial"/>
        </w:rPr>
        <w:t>ión no se configura como la que</w:t>
      </w:r>
      <w:r w:rsidRPr="0073286C">
        <w:rPr>
          <w:rFonts w:ascii="Palatino Linotype" w:hAnsi="Palatino Linotype" w:cs="Arial"/>
        </w:rPr>
        <w:t xml:space="preserve"> por deber normativo conste en los archivos del </w:t>
      </w:r>
      <w:r w:rsidRPr="0073286C">
        <w:rPr>
          <w:rFonts w:ascii="Palatino Linotype" w:hAnsi="Palatino Linotype" w:cs="Arial"/>
          <w:b/>
        </w:rPr>
        <w:t>SUJETO OBLIGADO</w:t>
      </w:r>
      <w:r w:rsidRPr="0073286C">
        <w:rPr>
          <w:rFonts w:ascii="Palatino Linotype" w:hAnsi="Palatino Linotype" w:cs="Arial"/>
        </w:rPr>
        <w:t xml:space="preserve">, es decir, que si bien no existe pronunciamiento ni manifestación expresa </w:t>
      </w:r>
      <w:r>
        <w:rPr>
          <w:rFonts w:ascii="Palatino Linotype" w:hAnsi="Palatino Linotype" w:cs="Arial"/>
        </w:rPr>
        <w:t xml:space="preserve">en la </w:t>
      </w:r>
      <w:r w:rsidRPr="0073286C">
        <w:rPr>
          <w:rFonts w:ascii="Palatino Linotype" w:hAnsi="Palatino Linotype" w:cs="Arial"/>
        </w:rPr>
        <w:t>que niegue contar con la información</w:t>
      </w:r>
      <w:r>
        <w:rPr>
          <w:rFonts w:ascii="Palatino Linotype" w:hAnsi="Palatino Linotype" w:cs="Arial"/>
        </w:rPr>
        <w:t>,</w:t>
      </w:r>
      <w:r w:rsidRPr="0073286C">
        <w:rPr>
          <w:rFonts w:ascii="Palatino Linotype" w:hAnsi="Palatino Linotype" w:cs="Arial"/>
        </w:rPr>
        <w:t xml:space="preserve"> el ordenar un pronunciamiento por parte de éste, en el que se establezcan las causas por las </w:t>
      </w:r>
      <w:r>
        <w:rPr>
          <w:rFonts w:ascii="Palatino Linotype" w:hAnsi="Palatino Linotype" w:cs="Arial"/>
        </w:rPr>
        <w:t xml:space="preserve">que no se generó la información, </w:t>
      </w:r>
      <w:r w:rsidRPr="0073286C">
        <w:rPr>
          <w:rFonts w:ascii="Palatino Linotype" w:hAnsi="Palatino Linotype" w:cs="Arial"/>
        </w:rPr>
        <w:t xml:space="preserve">implicaría afirmar que efectivamente </w:t>
      </w:r>
      <w:r w:rsidRPr="0073286C">
        <w:rPr>
          <w:rFonts w:ascii="Palatino Linotype" w:hAnsi="Palatino Linotype" w:cs="Arial"/>
          <w:b/>
        </w:rPr>
        <w:t>EL SUJETO OBLIGADO</w:t>
      </w:r>
      <w:r>
        <w:rPr>
          <w:rFonts w:ascii="Palatino Linotype" w:hAnsi="Palatino Linotype" w:cs="Arial"/>
        </w:rPr>
        <w:t xml:space="preserve"> cuenta con ella</w:t>
      </w:r>
      <w:r w:rsidRPr="0073286C">
        <w:rPr>
          <w:rFonts w:ascii="Palatino Linotype" w:hAnsi="Palatino Linotype" w:cs="Arial"/>
        </w:rPr>
        <w:t xml:space="preserve">, aun cuando del expediente </w:t>
      </w:r>
      <w:r>
        <w:rPr>
          <w:rFonts w:ascii="Palatino Linotype" w:hAnsi="Palatino Linotype" w:cs="Arial"/>
        </w:rPr>
        <w:t xml:space="preserve">electrónico del recurso de revisión, </w:t>
      </w:r>
      <w:r w:rsidRPr="0073286C">
        <w:rPr>
          <w:rFonts w:ascii="Palatino Linotype" w:hAnsi="Palatino Linotype" w:cs="Arial"/>
        </w:rPr>
        <w:t>no se advierte tal circunstancia ni existen indicios tendientes a demostrar lo aseve</w:t>
      </w:r>
      <w:r>
        <w:rPr>
          <w:rFonts w:ascii="Palatino Linotype" w:hAnsi="Palatino Linotype" w:cs="Arial"/>
        </w:rPr>
        <w:t>rado por la Ponencia Resolutora</w:t>
      </w:r>
      <w:r w:rsidRPr="0073286C">
        <w:rPr>
          <w:rFonts w:ascii="Palatino Linotype" w:hAnsi="Palatino Linotype" w:cs="Arial"/>
        </w:rPr>
        <w:t>.</w:t>
      </w:r>
    </w:p>
    <w:p w:rsidR="00BE17D7" w:rsidRDefault="00560C7C" w:rsidP="00560C7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otra parte, </w:t>
      </w:r>
      <w:r w:rsidR="00BE17D7">
        <w:rPr>
          <w:rFonts w:ascii="Palatino Linotype" w:hAnsi="Palatino Linotype" w:cs="Arial"/>
        </w:rPr>
        <w:t>no pasa desapercibido para la suscrita que la información solicitada puede fáticamente obrar en los archivos de l</w:t>
      </w:r>
      <w:r w:rsidR="00165844">
        <w:rPr>
          <w:rFonts w:ascii="Palatino Linotype" w:hAnsi="Palatino Linotype" w:cs="Arial"/>
        </w:rPr>
        <w:t xml:space="preserve">a Comisión Nacional del Agua puede </w:t>
      </w:r>
      <w:r w:rsidR="00BE17D7">
        <w:rPr>
          <w:rFonts w:ascii="Palatino Linotype" w:hAnsi="Palatino Linotype" w:cs="Arial"/>
        </w:rPr>
        <w:t xml:space="preserve">ser </w:t>
      </w:r>
      <w:r w:rsidR="00165844">
        <w:rPr>
          <w:rFonts w:ascii="Palatino Linotype" w:hAnsi="Palatino Linotype" w:cs="Arial"/>
        </w:rPr>
        <w:t xml:space="preserve">esta </w:t>
      </w:r>
      <w:r w:rsidR="00BE17D7">
        <w:rPr>
          <w:rFonts w:ascii="Palatino Linotype" w:hAnsi="Palatino Linotype" w:cs="Arial"/>
        </w:rPr>
        <w:t xml:space="preserve">quien posea </w:t>
      </w:r>
      <w:r w:rsidR="00165844">
        <w:rPr>
          <w:rFonts w:ascii="Palatino Linotype" w:hAnsi="Palatino Linotype" w:cs="Arial"/>
        </w:rPr>
        <w:t xml:space="preserve">lo requerido por la solicitante; por lo que, </w:t>
      </w:r>
      <w:r w:rsidR="00BE17D7">
        <w:rPr>
          <w:rFonts w:ascii="Palatino Linotype" w:hAnsi="Palatino Linotype" w:cs="Arial"/>
        </w:rPr>
        <w:t>s</w:t>
      </w:r>
      <w:r w:rsidR="00165844">
        <w:rPr>
          <w:rFonts w:ascii="Palatino Linotype" w:hAnsi="Palatino Linotype" w:cs="Arial"/>
        </w:rPr>
        <w:t xml:space="preserve">e considera que debieron dejar a salvo los </w:t>
      </w:r>
      <w:r w:rsidR="00BE17D7">
        <w:rPr>
          <w:rFonts w:ascii="Palatino Linotype" w:hAnsi="Palatino Linotype" w:cs="Arial"/>
        </w:rPr>
        <w:t xml:space="preserve">derechos para formular la </w:t>
      </w:r>
      <w:r w:rsidR="00165844">
        <w:rPr>
          <w:rFonts w:ascii="Palatino Linotype" w:hAnsi="Palatino Linotype" w:cs="Arial"/>
        </w:rPr>
        <w:t xml:space="preserve">solicitud de </w:t>
      </w:r>
      <w:r w:rsidR="00BE17D7">
        <w:rPr>
          <w:rFonts w:ascii="Palatino Linotype" w:hAnsi="Palatino Linotype" w:cs="Arial"/>
        </w:rPr>
        <w:t>información que considerara pertinente ante el Sujeto Obligado Competente.</w:t>
      </w:r>
    </w:p>
    <w:p w:rsidR="00560C7C" w:rsidRDefault="00560C7C" w:rsidP="00560C7C">
      <w:pPr>
        <w:spacing w:before="100" w:beforeAutospacing="1" w:after="100" w:afterAutospacing="1" w:line="360" w:lineRule="auto"/>
        <w:jc w:val="both"/>
        <w:rPr>
          <w:rFonts w:ascii="Palatino Linotype" w:hAnsi="Palatino Linotype" w:cs="Arial"/>
        </w:rPr>
      </w:pPr>
      <w:r w:rsidRPr="00920A1C">
        <w:rPr>
          <w:rFonts w:ascii="Palatino Linotype" w:hAnsi="Palatino Linotype" w:cs="Arial"/>
        </w:rPr>
        <w:lastRenderedPageBreak/>
        <w:t xml:space="preserve">En razón de lo expuesto, la que suscribe emite </w:t>
      </w:r>
      <w:r w:rsidRPr="00920A1C">
        <w:rPr>
          <w:rFonts w:ascii="Palatino Linotype" w:hAnsi="Palatino Linotype" w:cs="Arial"/>
          <w:b/>
        </w:rPr>
        <w:t>VOTO PARTICULAR</w:t>
      </w:r>
      <w:r w:rsidRPr="00920A1C">
        <w:rPr>
          <w:rFonts w:ascii="Palatino Linotype" w:hAnsi="Palatino Linotype" w:cs="Arial"/>
        </w:rPr>
        <w:t xml:space="preserve"> pues se insiste que la Ponencia Resolutora debió </w:t>
      </w:r>
      <w:r w:rsidR="000E1FA1">
        <w:rPr>
          <w:rFonts w:ascii="Palatino Linotype" w:hAnsi="Palatino Linotype" w:cs="Arial"/>
        </w:rPr>
        <w:t xml:space="preserve">únicamente referir que </w:t>
      </w:r>
      <w:r>
        <w:rPr>
          <w:rFonts w:ascii="Palatino Linotype" w:hAnsi="Palatino Linotype" w:cs="Arial"/>
          <w:lang w:val="es-MX"/>
        </w:rPr>
        <w:t>para el caso de que</w:t>
      </w:r>
      <w:r w:rsidR="000E1FA1">
        <w:rPr>
          <w:rFonts w:ascii="Palatino Linotype" w:hAnsi="Palatino Linotype" w:cs="Arial"/>
          <w:lang w:val="es-MX"/>
        </w:rPr>
        <w:t xml:space="preserve"> la información no obrara en los archivos del </w:t>
      </w:r>
      <w:r w:rsidR="000E1FA1">
        <w:rPr>
          <w:rFonts w:ascii="Palatino Linotype" w:hAnsi="Palatino Linotype" w:cs="Arial"/>
          <w:b/>
          <w:lang w:val="es-MX"/>
        </w:rPr>
        <w:t xml:space="preserve">SUJETO OBLIGADO </w:t>
      </w:r>
      <w:r>
        <w:rPr>
          <w:rFonts w:ascii="Palatino Linotype" w:hAnsi="Palatino Linotype" w:cs="Arial"/>
          <w:lang w:val="es-MX"/>
        </w:rPr>
        <w:t>bastaría con hacerlo del conocimiento de</w:t>
      </w:r>
      <w:r w:rsidR="000E1FA1">
        <w:rPr>
          <w:rFonts w:ascii="Palatino Linotype" w:hAnsi="Palatino Linotype" w:cs="Arial"/>
          <w:lang w:val="es-MX"/>
        </w:rPr>
        <w:t xml:space="preserve"> </w:t>
      </w:r>
      <w:r>
        <w:rPr>
          <w:rFonts w:ascii="Palatino Linotype" w:hAnsi="Palatino Linotype" w:cs="Arial"/>
          <w:lang w:val="es-MX"/>
        </w:rPr>
        <w:t>l</w:t>
      </w:r>
      <w:r w:rsidR="000E1FA1">
        <w:rPr>
          <w:rFonts w:ascii="Palatino Linotype" w:hAnsi="Palatino Linotype" w:cs="Arial"/>
          <w:lang w:val="es-MX"/>
        </w:rPr>
        <w:t>a hoy</w:t>
      </w:r>
      <w:r>
        <w:rPr>
          <w:rFonts w:ascii="Palatino Linotype" w:hAnsi="Palatino Linotype" w:cs="Arial"/>
          <w:lang w:val="es-MX"/>
        </w:rPr>
        <w:t xml:space="preserve"> </w:t>
      </w:r>
      <w:r>
        <w:rPr>
          <w:rFonts w:ascii="Palatino Linotype" w:hAnsi="Palatino Linotype" w:cs="Arial"/>
          <w:b/>
          <w:lang w:val="es-MX"/>
        </w:rPr>
        <w:t>RECURRENTE</w:t>
      </w:r>
      <w:r>
        <w:rPr>
          <w:rFonts w:ascii="Palatino Linotype" w:hAnsi="Palatino Linotype" w:cs="Arial"/>
          <w:lang w:val="es-MX"/>
        </w:rPr>
        <w:t xml:space="preserve">; </w:t>
      </w:r>
      <w:r>
        <w:rPr>
          <w:rFonts w:ascii="Palatino Linotype" w:hAnsi="Palatino Linotype" w:cs="Arial"/>
        </w:rPr>
        <w:t>ello aunado a que,</w:t>
      </w:r>
      <w:r w:rsidRPr="00C8035B">
        <w:rPr>
          <w:rFonts w:ascii="Palatino Linotype" w:hAnsi="Palatino Linotype" w:cs="Arial"/>
        </w:rPr>
        <w:t xml:space="preserve"> la Ley de Transparencia y Acceso a la Información Pública del Estado de México y Municipios no faculta a este Instituto para ordenar que los</w:t>
      </w:r>
      <w:r w:rsidRPr="00C8035B">
        <w:rPr>
          <w:rFonts w:ascii="Palatino Linotype" w:hAnsi="Palatino Linotype" w:cs="Arial"/>
          <w:b/>
        </w:rPr>
        <w:t xml:space="preserve"> </w:t>
      </w:r>
      <w:r w:rsidRPr="00C8035B">
        <w:rPr>
          <w:rFonts w:ascii="Palatino Linotype" w:hAnsi="Palatino Linotype" w:cs="Arial"/>
        </w:rPr>
        <w:t xml:space="preserve">Sujetos Obligados motiven las causas por las que no se generó la información si dicho acto o hecho no aconteció, es decir, </w:t>
      </w:r>
      <w:r>
        <w:rPr>
          <w:rFonts w:ascii="Palatino Linotype" w:hAnsi="Palatino Linotype" w:cs="Arial"/>
        </w:rPr>
        <w:t>al no advertirse de las documentales que efectivamente fue</w:t>
      </w:r>
      <w:r w:rsidR="00BA5869">
        <w:rPr>
          <w:rFonts w:ascii="Palatino Linotype" w:hAnsi="Palatino Linotype" w:cs="Arial"/>
        </w:rPr>
        <w:t>ron</w:t>
      </w:r>
      <w:r>
        <w:rPr>
          <w:rFonts w:ascii="Palatino Linotype" w:hAnsi="Palatino Linotype" w:cs="Arial"/>
        </w:rPr>
        <w:t xml:space="preserve"> expedido</w:t>
      </w:r>
      <w:r w:rsidR="00BA5869">
        <w:rPr>
          <w:rFonts w:ascii="Palatino Linotype" w:hAnsi="Palatino Linotype" w:cs="Arial"/>
        </w:rPr>
        <w:t>s los</w:t>
      </w:r>
      <w:r>
        <w:rPr>
          <w:rFonts w:ascii="Palatino Linotype" w:hAnsi="Palatino Linotype" w:cs="Arial"/>
        </w:rPr>
        <w:t xml:space="preserve"> documento</w:t>
      </w:r>
      <w:r w:rsidR="00BA5869">
        <w:rPr>
          <w:rFonts w:ascii="Palatino Linotype" w:hAnsi="Palatino Linotype" w:cs="Arial"/>
        </w:rPr>
        <w:t>s</w:t>
      </w:r>
      <w:r>
        <w:rPr>
          <w:rFonts w:ascii="Palatino Linotype" w:hAnsi="Palatino Linotype" w:cs="Arial"/>
        </w:rPr>
        <w:t>, así como</w:t>
      </w:r>
      <w:r w:rsidR="000E1FA1">
        <w:rPr>
          <w:rFonts w:ascii="Palatino Linotype" w:hAnsi="Palatino Linotype" w:cs="Arial"/>
        </w:rPr>
        <w:t xml:space="preserve"> </w:t>
      </w:r>
      <w:r w:rsidR="00BA5869">
        <w:rPr>
          <w:rFonts w:ascii="Palatino Linotype" w:hAnsi="Palatino Linotype" w:cs="Arial"/>
        </w:rPr>
        <w:t xml:space="preserve">que </w:t>
      </w:r>
      <w:r w:rsidR="000E1FA1">
        <w:rPr>
          <w:rFonts w:ascii="Palatino Linotype" w:hAnsi="Palatino Linotype" w:cs="Arial"/>
        </w:rPr>
        <w:t>se dejarían a salvo los derechos de la particular para requerir la información a</w:t>
      </w:r>
      <w:r w:rsidR="00BA5869">
        <w:rPr>
          <w:rFonts w:ascii="Palatino Linotype" w:hAnsi="Palatino Linotype" w:cs="Arial"/>
        </w:rPr>
        <w:t>l Sujeto Obligado que considerara competente.</w:t>
      </w:r>
    </w:p>
    <w:p w:rsidR="00560C7C" w:rsidRDefault="00560C7C" w:rsidP="00560C7C">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560C7C" w:rsidRPr="0073286C" w:rsidTr="008E782A">
        <w:trPr>
          <w:jc w:val="center"/>
        </w:trPr>
        <w:tc>
          <w:tcPr>
            <w:tcW w:w="4393" w:type="dxa"/>
          </w:tcPr>
          <w:p w:rsidR="00852F88" w:rsidRDefault="00852F88" w:rsidP="000E1FA1">
            <w:pPr>
              <w:jc w:val="center"/>
              <w:rPr>
                <w:rFonts w:ascii="Palatino Linotype" w:hAnsi="Palatino Linotype"/>
                <w:b/>
              </w:rPr>
            </w:pPr>
          </w:p>
          <w:p w:rsidR="00852F88" w:rsidRDefault="00852F88" w:rsidP="000E1FA1">
            <w:pPr>
              <w:jc w:val="center"/>
              <w:rPr>
                <w:rFonts w:ascii="Palatino Linotype" w:hAnsi="Palatino Linotype"/>
                <w:b/>
              </w:rPr>
            </w:pPr>
          </w:p>
          <w:p w:rsidR="00D42E24" w:rsidRDefault="00D42E24" w:rsidP="000E1FA1">
            <w:pPr>
              <w:jc w:val="center"/>
              <w:rPr>
                <w:rFonts w:ascii="Palatino Linotype" w:hAnsi="Palatino Linotype"/>
                <w:b/>
              </w:rPr>
            </w:pPr>
          </w:p>
          <w:p w:rsidR="00D42E24" w:rsidRDefault="00D42E24" w:rsidP="000E1FA1">
            <w:pPr>
              <w:jc w:val="center"/>
              <w:rPr>
                <w:rFonts w:ascii="Palatino Linotype" w:hAnsi="Palatino Linotype"/>
                <w:b/>
              </w:rPr>
            </w:pPr>
          </w:p>
          <w:p w:rsidR="00D42E24" w:rsidRDefault="00D42E24" w:rsidP="000E1FA1">
            <w:pPr>
              <w:jc w:val="center"/>
              <w:rPr>
                <w:rFonts w:ascii="Palatino Linotype" w:hAnsi="Palatino Linotype"/>
                <w:b/>
              </w:rPr>
            </w:pPr>
          </w:p>
          <w:p w:rsidR="00560C7C" w:rsidRPr="0073286C" w:rsidRDefault="00560C7C" w:rsidP="000E1FA1">
            <w:pPr>
              <w:jc w:val="center"/>
              <w:rPr>
                <w:rFonts w:ascii="Palatino Linotype" w:hAnsi="Palatino Linotype"/>
                <w:b/>
              </w:rPr>
            </w:pPr>
            <w:bookmarkStart w:id="0" w:name="_GoBack"/>
            <w:bookmarkEnd w:id="0"/>
            <w:r w:rsidRPr="0073286C">
              <w:rPr>
                <w:rFonts w:ascii="Palatino Linotype" w:hAnsi="Palatino Linotype"/>
                <w:b/>
              </w:rPr>
              <w:t>EVA ABAID YAPUR</w:t>
            </w:r>
          </w:p>
          <w:p w:rsidR="00560C7C" w:rsidRDefault="00560C7C" w:rsidP="00852F88">
            <w:pPr>
              <w:jc w:val="center"/>
              <w:rPr>
                <w:rFonts w:ascii="Palatino Linotype" w:hAnsi="Palatino Linotype"/>
                <w:b/>
              </w:rPr>
            </w:pPr>
            <w:r w:rsidRPr="0073286C">
              <w:rPr>
                <w:rFonts w:ascii="Palatino Linotype" w:hAnsi="Palatino Linotype"/>
                <w:b/>
              </w:rPr>
              <w:t>COMISIONADA</w:t>
            </w:r>
          </w:p>
          <w:p w:rsidR="0078026F" w:rsidRPr="0073286C" w:rsidRDefault="0078026F" w:rsidP="00852F88">
            <w:pPr>
              <w:jc w:val="center"/>
              <w:rPr>
                <w:rFonts w:ascii="Palatino Linotype" w:hAnsi="Palatino Linotype"/>
                <w:b/>
              </w:rPr>
            </w:pPr>
            <w:r>
              <w:rPr>
                <w:rFonts w:ascii="Palatino Linotype" w:hAnsi="Palatino Linotype" w:cs="Arial"/>
                <w:b/>
              </w:rPr>
              <w:t>(RÚBRICA)</w:t>
            </w:r>
          </w:p>
        </w:tc>
      </w:tr>
    </w:tbl>
    <w:p w:rsidR="00BA5869" w:rsidRDefault="00BA5869" w:rsidP="00560C7C">
      <w:pPr>
        <w:spacing w:before="100" w:beforeAutospacing="1" w:after="100" w:afterAutospacing="1" w:line="360" w:lineRule="auto"/>
        <w:jc w:val="both"/>
        <w:rPr>
          <w:rFonts w:ascii="Palatino Linotype" w:eastAsia="Calibri" w:hAnsi="Palatino Linotype" w:cs="Arial"/>
          <w:color w:val="000000" w:themeColor="text1"/>
          <w:sz w:val="22"/>
        </w:rPr>
      </w:pPr>
    </w:p>
    <w:p w:rsidR="00560C7C" w:rsidRDefault="00560C7C" w:rsidP="00BA5869">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 xml:space="preserve">Esta hoja corresponde al voto particular emitido en </w:t>
      </w:r>
      <w:r w:rsidR="000E1FA1">
        <w:rPr>
          <w:rFonts w:ascii="Palatino Linotype" w:eastAsia="Calibri" w:hAnsi="Palatino Linotype" w:cs="Arial"/>
          <w:color w:val="000000" w:themeColor="text1"/>
          <w:sz w:val="20"/>
          <w:szCs w:val="20"/>
        </w:rPr>
        <w:t>la resolución del recurso de revisión 02363</w:t>
      </w:r>
      <w:r w:rsidRPr="001A4E4A">
        <w:rPr>
          <w:rFonts w:ascii="Palatino Linotype" w:eastAsia="Calibri" w:hAnsi="Palatino Linotype" w:cs="Arial"/>
          <w:color w:val="000000" w:themeColor="text1"/>
          <w:sz w:val="20"/>
          <w:szCs w:val="20"/>
        </w:rPr>
        <w:t>/INFOEM/IP/RR/2018, aprobado el veinti</w:t>
      </w:r>
      <w:r w:rsidR="000E1FA1">
        <w:rPr>
          <w:rFonts w:ascii="Palatino Linotype" w:eastAsia="Calibri" w:hAnsi="Palatino Linotype" w:cs="Arial"/>
          <w:color w:val="000000" w:themeColor="text1"/>
          <w:sz w:val="20"/>
          <w:szCs w:val="20"/>
        </w:rPr>
        <w:t xml:space="preserve">nueve de agosto </w:t>
      </w:r>
      <w:r w:rsidRPr="001A4E4A">
        <w:rPr>
          <w:rFonts w:ascii="Palatino Linotype" w:eastAsia="Calibri" w:hAnsi="Palatino Linotype" w:cs="Arial"/>
          <w:color w:val="000000" w:themeColor="text1"/>
          <w:sz w:val="20"/>
          <w:szCs w:val="20"/>
        </w:rPr>
        <w:t xml:space="preserve">de dos mil dieciocho.  </w:t>
      </w:r>
    </w:p>
    <w:p w:rsidR="00BA5869" w:rsidRPr="00D42E24" w:rsidRDefault="00BA5869" w:rsidP="00BA5869">
      <w:pPr>
        <w:jc w:val="both"/>
        <w:rPr>
          <w:rFonts w:ascii="Palatino Linotype" w:eastAsia="Calibri" w:hAnsi="Palatino Linotype" w:cs="Arial"/>
          <w:color w:val="000000" w:themeColor="text1"/>
          <w:sz w:val="4"/>
          <w:szCs w:val="20"/>
        </w:rPr>
      </w:pPr>
    </w:p>
    <w:p w:rsidR="00C23B43" w:rsidRDefault="00560C7C" w:rsidP="00BA5869">
      <w:pPr>
        <w:jc w:val="both"/>
      </w:pPr>
      <w:r w:rsidRPr="001A4E4A">
        <w:rPr>
          <w:rFonts w:ascii="Palatino Linotype" w:eastAsia="Calibri" w:hAnsi="Palatino Linotype" w:cs="Arial"/>
          <w:color w:val="000000" w:themeColor="text1"/>
          <w:sz w:val="20"/>
          <w:szCs w:val="20"/>
        </w:rPr>
        <w:t>YSM/AMV</w:t>
      </w:r>
    </w:p>
    <w:sectPr w:rsidR="00C23B43" w:rsidSect="005F4959">
      <w:headerReference w:type="even" r:id="rId7"/>
      <w:headerReference w:type="default" r:id="rId8"/>
      <w:footerReference w:type="default" r:id="rId9"/>
      <w:headerReference w:type="first" r:id="rId10"/>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3E" w:rsidRDefault="002B383E" w:rsidP="00560C7C">
      <w:r>
        <w:separator/>
      </w:r>
    </w:p>
  </w:endnote>
  <w:endnote w:type="continuationSeparator" w:id="0">
    <w:p w:rsidR="002B383E" w:rsidRDefault="002B383E" w:rsidP="0056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oberanaSans-Ligh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B383E" w:rsidP="00DC5C4E">
    <w:pPr>
      <w:pStyle w:val="Piedepgina"/>
      <w:tabs>
        <w:tab w:val="clear" w:pos="4252"/>
        <w:tab w:val="left" w:pos="4228"/>
      </w:tabs>
      <w:rPr>
        <w:rFonts w:ascii="Palatino Linotype" w:hAnsi="Palatino Linotype" w:cs="Arial"/>
        <w:b/>
        <w:bCs/>
        <w:sz w:val="20"/>
        <w:szCs w:val="20"/>
      </w:rPr>
    </w:pPr>
  </w:p>
  <w:p w:rsidR="00BE17D7" w:rsidRDefault="00BE17D7" w:rsidP="00DC5C4E">
    <w:pPr>
      <w:pStyle w:val="Piedepgina"/>
      <w:tabs>
        <w:tab w:val="clear" w:pos="4252"/>
        <w:tab w:val="left" w:pos="4228"/>
      </w:tabs>
      <w:rPr>
        <w:rFonts w:ascii="Palatino Linotype" w:hAnsi="Palatino Linotype" w:cs="Arial"/>
        <w:b/>
        <w:bCs/>
        <w:sz w:val="20"/>
        <w:szCs w:val="20"/>
      </w:rPr>
    </w:pPr>
  </w:p>
  <w:p w:rsidR="00560C7C" w:rsidRDefault="00560C7C" w:rsidP="00DC5C4E">
    <w:pPr>
      <w:pStyle w:val="Piedepgina"/>
      <w:tabs>
        <w:tab w:val="clear" w:pos="4252"/>
        <w:tab w:val="left" w:pos="4228"/>
      </w:tabs>
      <w:rPr>
        <w:rFonts w:ascii="Palatino Linotype" w:hAnsi="Palatino Linotype" w:cs="Arial"/>
        <w:b/>
        <w:bCs/>
        <w:sz w:val="20"/>
        <w:szCs w:val="20"/>
      </w:rPr>
    </w:pPr>
  </w:p>
  <w:p w:rsidR="005C7C8F" w:rsidRDefault="002B383E" w:rsidP="00DC5C4E">
    <w:pPr>
      <w:pStyle w:val="Piedepgina"/>
      <w:tabs>
        <w:tab w:val="clear" w:pos="4252"/>
        <w:tab w:val="left" w:pos="4228"/>
      </w:tabs>
      <w:rPr>
        <w:rFonts w:ascii="Palatino Linotype" w:hAnsi="Palatino Linotype" w:cs="Arial"/>
        <w:b/>
        <w:bCs/>
        <w:sz w:val="20"/>
        <w:szCs w:val="20"/>
      </w:rPr>
    </w:pPr>
  </w:p>
  <w:p w:rsidR="005C7C8F" w:rsidRDefault="002B383E" w:rsidP="00DC5C4E">
    <w:pPr>
      <w:pStyle w:val="Piedepgina"/>
      <w:rPr>
        <w:rFonts w:ascii="Palatino Linotype" w:hAnsi="Palatino Linotype" w:cs="Arial"/>
        <w:b/>
        <w:bCs/>
        <w:sz w:val="20"/>
        <w:szCs w:val="20"/>
      </w:rPr>
    </w:pPr>
  </w:p>
  <w:p w:rsidR="005C7C8F" w:rsidRPr="00F12350" w:rsidRDefault="007056A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026F">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026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2B383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3E" w:rsidRDefault="002B383E" w:rsidP="00560C7C">
      <w:r>
        <w:separator/>
      </w:r>
    </w:p>
  </w:footnote>
  <w:footnote w:type="continuationSeparator" w:id="0">
    <w:p w:rsidR="002B383E" w:rsidRDefault="002B383E" w:rsidP="00560C7C">
      <w:r>
        <w:continuationSeparator/>
      </w:r>
    </w:p>
  </w:footnote>
  <w:footnote w:id="1">
    <w:p w:rsidR="00601307" w:rsidRDefault="00601307" w:rsidP="00601307">
      <w:pPr>
        <w:pStyle w:val="Textonotapie"/>
      </w:pPr>
      <w:r>
        <w:rPr>
          <w:rStyle w:val="Refdenotaalpie"/>
        </w:rPr>
        <w:footnoteRef/>
      </w:r>
      <w:r>
        <w:t xml:space="preserve"> Disponible para su consulta en </w:t>
      </w:r>
      <w:hyperlink r:id="rId1" w:history="1">
        <w:r w:rsidRPr="005A1396">
          <w:rPr>
            <w:rStyle w:val="Hipervnculo"/>
          </w:rPr>
          <w:t>http://www.diputados.gob.mx/LeyesBiblio/pdf/16_240316.pdf</w:t>
        </w:r>
      </w:hyperlink>
    </w:p>
  </w:footnote>
  <w:footnote w:id="2">
    <w:p w:rsidR="00BE17D7" w:rsidRDefault="00BE17D7" w:rsidP="00BE17D7">
      <w:pPr>
        <w:pStyle w:val="Textonotapie"/>
      </w:pPr>
      <w:r>
        <w:rPr>
          <w:rStyle w:val="Refdenotaalpie"/>
        </w:rPr>
        <w:footnoteRef/>
      </w:r>
      <w:r>
        <w:t xml:space="preserve"> Disponible para su consulta en </w:t>
      </w:r>
      <w:hyperlink r:id="rId2" w:history="1">
        <w:r w:rsidRPr="005A1396">
          <w:rPr>
            <w:rStyle w:val="Hipervnculo"/>
          </w:rPr>
          <w:t>http://legislacion.edomex.gob.mx/sites/legislacion.edomex.gob.mx/files/files/pdf/ley/vig/leyvig002.pdf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B38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6" w:rsidRDefault="007056A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249A698" wp14:editId="4E88D4C2">
          <wp:simplePos x="0" y="0"/>
          <wp:positionH relativeFrom="column">
            <wp:posOffset>-744220</wp:posOffset>
          </wp:positionH>
          <wp:positionV relativeFrom="paragraph">
            <wp:posOffset>-441325</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2B383E" w:rsidP="00DC5C4E">
    <w:pPr>
      <w:pStyle w:val="Encabezado"/>
      <w:tabs>
        <w:tab w:val="clear" w:pos="4252"/>
        <w:tab w:val="clear" w:pos="8504"/>
        <w:tab w:val="left" w:pos="2326"/>
      </w:tabs>
      <w:jc w:val="right"/>
    </w:pPr>
  </w:p>
  <w:p w:rsidR="005C7C8F" w:rsidRDefault="007056A9"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F87541" w:rsidRDefault="007056A9" w:rsidP="00F87541">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560C7C">
      <w:rPr>
        <w:rFonts w:ascii="Palatino Linotype" w:hAnsi="Palatino Linotype" w:cs="Arial"/>
        <w:sz w:val="20"/>
        <w:szCs w:val="20"/>
      </w:rPr>
      <w:t>02363</w:t>
    </w:r>
    <w:r>
      <w:rPr>
        <w:rFonts w:ascii="Palatino Linotype" w:hAnsi="Palatino Linotype" w:cs="Arial"/>
        <w:sz w:val="20"/>
        <w:szCs w:val="20"/>
      </w:rPr>
      <w:t xml:space="preserve">/INFOEM/IP/RR/2018 </w:t>
    </w:r>
  </w:p>
  <w:p w:rsidR="005C7C8F" w:rsidRDefault="002B383E" w:rsidP="00DC5C4E">
    <w:pPr>
      <w:pStyle w:val="Encabezado"/>
      <w:tabs>
        <w:tab w:val="clear" w:pos="4252"/>
        <w:tab w:val="clear" w:pos="8504"/>
        <w:tab w:val="left" w:pos="2326"/>
      </w:tabs>
      <w:jc w:val="right"/>
      <w:rPr>
        <w:rFonts w:ascii="Palatino Linotype" w:hAnsi="Palatino Linotype" w:cs="Arial"/>
        <w:sz w:val="20"/>
        <w:szCs w:val="20"/>
      </w:rPr>
    </w:pPr>
  </w:p>
  <w:p w:rsidR="006008A4" w:rsidRDefault="002B383E"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1.4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B383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DC3425"/>
    <w:multiLevelType w:val="hybridMultilevel"/>
    <w:tmpl w:val="9F481898"/>
    <w:lvl w:ilvl="0" w:tplc="2F94B26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B22E9D"/>
    <w:multiLevelType w:val="hybridMultilevel"/>
    <w:tmpl w:val="D17E88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7C"/>
    <w:rsid w:val="000E1FA1"/>
    <w:rsid w:val="00165844"/>
    <w:rsid w:val="002B383E"/>
    <w:rsid w:val="003B062B"/>
    <w:rsid w:val="00560C7C"/>
    <w:rsid w:val="00601307"/>
    <w:rsid w:val="007056A9"/>
    <w:rsid w:val="0078026F"/>
    <w:rsid w:val="00852F88"/>
    <w:rsid w:val="00BA5869"/>
    <w:rsid w:val="00BE17D7"/>
    <w:rsid w:val="00C23B43"/>
    <w:rsid w:val="00C6654F"/>
    <w:rsid w:val="00C9714C"/>
    <w:rsid w:val="00D42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CD9633-2300-409B-AA35-7B2B8CC8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7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0C7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60C7C"/>
    <w:rPr>
      <w:rFonts w:eastAsiaTheme="minorEastAsia"/>
      <w:sz w:val="24"/>
      <w:szCs w:val="24"/>
      <w:lang w:val="es-ES_tradnl" w:eastAsia="es-ES"/>
    </w:rPr>
  </w:style>
  <w:style w:type="paragraph" w:styleId="Piedepgina">
    <w:name w:val="footer"/>
    <w:basedOn w:val="Normal"/>
    <w:link w:val="PiedepginaCar"/>
    <w:uiPriority w:val="99"/>
    <w:unhideWhenUsed/>
    <w:rsid w:val="00560C7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60C7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60C7C"/>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60C7C"/>
    <w:rPr>
      <w:rFonts w:eastAsiaTheme="minorEastAsia"/>
      <w:sz w:val="24"/>
      <w:szCs w:val="24"/>
      <w:lang w:val="es-ES_tradnl" w:eastAsia="es-ES"/>
    </w:rPr>
  </w:style>
  <w:style w:type="character" w:styleId="Hipervnculo">
    <w:name w:val="Hyperlink"/>
    <w:basedOn w:val="Fuentedeprrafopredeter"/>
    <w:uiPriority w:val="99"/>
    <w:unhideWhenUsed/>
    <w:rsid w:val="0060130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0130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0130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01307"/>
    <w:rPr>
      <w:vertAlign w:val="superscript"/>
    </w:rPr>
  </w:style>
  <w:style w:type="paragraph" w:styleId="Textodeglobo">
    <w:name w:val="Balloon Text"/>
    <w:basedOn w:val="Normal"/>
    <w:link w:val="TextodegloboCar"/>
    <w:uiPriority w:val="99"/>
    <w:semiHidden/>
    <w:unhideWhenUsed/>
    <w:rsid w:val="000E1F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1FA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ley/vig/leyvig002.pdf" TargetMode="External"/><Relationship Id="rId1" Type="http://schemas.openxmlformats.org/officeDocument/2006/relationships/hyperlink" Target="http://www.diputados.gob.mx/LeyesBiblio/pdf/16_24031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1141</Words>
  <Characters>6280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2018-08-31T02:58:00Z</cp:lastPrinted>
  <dcterms:created xsi:type="dcterms:W3CDTF">2018-08-31T02:21:00Z</dcterms:created>
  <dcterms:modified xsi:type="dcterms:W3CDTF">2018-10-11T01:46:00Z</dcterms:modified>
</cp:coreProperties>
</file>